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5B" w:rsidRDefault="00F54153" w:rsidP="00F54153">
      <w:r>
        <w:br/>
      </w:r>
      <w:r w:rsidR="001F3A5B">
        <w:rPr>
          <w:noProof/>
        </w:rPr>
        <w:drawing>
          <wp:inline distT="0" distB="0" distL="0" distR="0" wp14:anchorId="1BA1C342" wp14:editId="27CC6A42">
            <wp:extent cx="5943600" cy="3281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53" w:rsidRDefault="00F54153" w:rsidP="00F54153">
      <w:proofErr w:type="spellStart"/>
      <w:r>
        <w:t>Điểm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:</w:t>
      </w:r>
    </w:p>
    <w:p w:rsidR="001F3A5B" w:rsidRDefault="00F54153" w:rsidP="00F54153">
      <w:r>
        <w:t>-</w:t>
      </w:r>
      <w:r>
        <w:t xml:space="preserve"> CTTM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2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50%</w:t>
      </w:r>
      <w:r>
        <w:t xml:space="preserve"> - </w:t>
      </w:r>
      <w:r>
        <w:t xml:space="preserve">140%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khủng</w:t>
      </w:r>
      <w:proofErr w:type="spellEnd"/>
      <w:r>
        <w:t xml:space="preserve">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USD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1.3 </w:t>
      </w:r>
      <w:proofErr w:type="spellStart"/>
      <w:r>
        <w:t>tỷ</w:t>
      </w:r>
      <w:proofErr w:type="spellEnd"/>
      <w:r>
        <w:t xml:space="preserve"> USD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tt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qua,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Nam Phi (600 </w:t>
      </w:r>
      <w:proofErr w:type="spellStart"/>
      <w:r>
        <w:t>triệu</w:t>
      </w:r>
      <w:proofErr w:type="spellEnd"/>
      <w:r>
        <w:t xml:space="preserve"> USD) </w:t>
      </w:r>
      <w:proofErr w:type="spellStart"/>
      <w:r>
        <w:t>và</w:t>
      </w:r>
      <w:proofErr w:type="spellEnd"/>
      <w:r>
        <w:t xml:space="preserve"> TQ (500 </w:t>
      </w:r>
      <w:proofErr w:type="spellStart"/>
      <w:r>
        <w:t>triệu</w:t>
      </w:r>
      <w:proofErr w:type="spellEnd"/>
      <w:r>
        <w:t xml:space="preserve"> USD) </w:t>
      </w:r>
      <w:r>
        <w:br/>
        <w:t>-</w:t>
      </w:r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TQ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. </w:t>
      </w:r>
      <w:proofErr w:type="spellStart"/>
      <w:proofErr w:type="gram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cứng</w:t>
      </w:r>
      <w:proofErr w:type="spellEnd"/>
      <w:r>
        <w:t xml:space="preserve"> </w:t>
      </w:r>
      <w:proofErr w:type="spellStart"/>
      <w:r>
        <w:t>rắn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1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  <w:proofErr w:type="gramEnd"/>
      <w:r>
        <w:t xml:space="preserve"> </w:t>
      </w:r>
    </w:p>
    <w:p w:rsidR="001F3A5B" w:rsidRDefault="001F3A5B" w:rsidP="001F3A5B">
      <w:pPr>
        <w:jc w:val="center"/>
      </w:pPr>
      <w:r>
        <w:rPr>
          <w:noProof/>
        </w:rPr>
        <w:lastRenderedPageBreak/>
        <w:drawing>
          <wp:inline distT="0" distB="0" distL="0" distR="0">
            <wp:extent cx="5305425" cy="3509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A46" w:rsidRDefault="00F54153" w:rsidP="001F3A5B">
      <w:r>
        <w:br/>
        <w:t>-</w:t>
      </w:r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2018: NHNN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nới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room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, room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NH </w:t>
      </w:r>
      <w:proofErr w:type="spellStart"/>
      <w:r>
        <w:t>là</w:t>
      </w:r>
      <w:proofErr w:type="spellEnd"/>
      <w:r>
        <w:t xml:space="preserve">: </w:t>
      </w:r>
      <w:proofErr w:type="spellStart"/>
      <w:r>
        <w:t>TPBank</w:t>
      </w:r>
      <w:proofErr w:type="spellEnd"/>
      <w:r>
        <w:t xml:space="preserve"> (1%), VCB (2.5</w:t>
      </w:r>
      <w:r>
        <w:t>-</w:t>
      </w:r>
      <w:r>
        <w:t>3.5%), ACB, MBB (3</w:t>
      </w:r>
      <w:r>
        <w:t>-</w:t>
      </w:r>
      <w:r>
        <w:t xml:space="preserve">4%),... </w:t>
      </w:r>
      <w:r>
        <w:br/>
        <w:t>-</w:t>
      </w:r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USD/VND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: NHNN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đỉnh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22,691 VND/USD,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 NHTM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USD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kịch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,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23,620 (</w:t>
      </w:r>
      <w:proofErr w:type="spellStart"/>
      <w:r>
        <w:t>tăng</w:t>
      </w:r>
      <w:proofErr w:type="spellEnd"/>
      <w:r>
        <w:t xml:space="preserve"> 4.3% vs 2017). </w:t>
      </w:r>
      <w:r>
        <w:br/>
        <w:t>-</w:t>
      </w:r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0.1</w:t>
      </w:r>
      <w:r>
        <w:t>-</w:t>
      </w:r>
      <w:r>
        <w:t xml:space="preserve">0.5% </w:t>
      </w:r>
      <w:proofErr w:type="spellStart"/>
      <w:r>
        <w:t>như</w:t>
      </w:r>
      <w:proofErr w:type="spellEnd"/>
      <w:r>
        <w:t xml:space="preserve"> VPB, TCB, ACB.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ở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. </w:t>
      </w:r>
      <w:r>
        <w:br/>
        <w:t>-</w:t>
      </w:r>
      <w:r>
        <w:t xml:space="preserve"> Moody's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12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VN,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1F3A5B">
        <w:t>p</w:t>
      </w:r>
      <w:r>
        <w:t>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. </w:t>
      </w:r>
      <w:r>
        <w:br/>
        <w:t>-</w:t>
      </w:r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NN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NH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: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3 NH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VCB CTG BID, NN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65% </w:t>
      </w:r>
      <w:proofErr w:type="spellStart"/>
      <w:r>
        <w:t>về</w:t>
      </w:r>
      <w:proofErr w:type="spellEnd"/>
      <w:r>
        <w:t xml:space="preserve"> 51%,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2020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Basel 2,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TTCK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  <w:p w:rsidR="00F54153" w:rsidRDefault="00F54153" w:rsidP="00F54153">
      <w:r>
        <w:t>NHẬN ĐỊNH XU HƯỚNG VÀ CHIẾN LƯỢC ĐẦU TƯ</w:t>
      </w:r>
    </w:p>
    <w:p w:rsidR="001F3A5B" w:rsidRDefault="001F3A5B" w:rsidP="00F54153">
      <w:r>
        <w:rPr>
          <w:noProof/>
        </w:rPr>
        <w:lastRenderedPageBreak/>
        <w:drawing>
          <wp:inline distT="0" distB="0" distL="0" distR="0" wp14:anchorId="65FA0F8A" wp14:editId="45330F47">
            <wp:extent cx="5943600" cy="3678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53" w:rsidRDefault="00F54153" w:rsidP="00F54153">
      <w:bookmarkStart w:id="0" w:name="_GoBack"/>
      <w:r>
        <w:t xml:space="preserve">-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DNNN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ttck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EVN, PVN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qua. </w:t>
      </w:r>
    </w:p>
    <w:p w:rsidR="00F54153" w:rsidRDefault="00F54153" w:rsidP="00F54153">
      <w:r>
        <w:t xml:space="preserve">- </w:t>
      </w:r>
      <w:proofErr w:type="spellStart"/>
      <w:r>
        <w:t>Cuộc</w:t>
      </w:r>
      <w:proofErr w:type="spellEnd"/>
      <w:r>
        <w:t xml:space="preserve"> CTTM </w:t>
      </w:r>
      <w:proofErr w:type="spellStart"/>
      <w:r>
        <w:t>Mỹ</w:t>
      </w:r>
      <w:proofErr w:type="spellEnd"/>
      <w:r>
        <w:t xml:space="preserve"> - TQ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do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2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. </w:t>
      </w:r>
    </w:p>
    <w:p w:rsidR="00F54153" w:rsidRDefault="00F54153" w:rsidP="00F54153">
      <w:r>
        <w:t xml:space="preserve">-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TTCK </w:t>
      </w:r>
      <w:proofErr w:type="spellStart"/>
      <w:r>
        <w:t>đang</w:t>
      </w:r>
      <w:proofErr w:type="spellEnd"/>
      <w:r>
        <w:t xml:space="preserve"> ở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ngâu</w:t>
      </w:r>
      <w:proofErr w:type="spellEnd"/>
      <w:r>
        <w:t xml:space="preserve"> -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trũng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F54153" w:rsidRDefault="00F54153" w:rsidP="00F54153">
      <w:r>
        <w:t xml:space="preserve"> -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đuổi</w:t>
      </w:r>
      <w:proofErr w:type="spellEnd"/>
      <w:r>
        <w:t xml:space="preserve">, NẮM GIỮ </w:t>
      </w:r>
      <w:proofErr w:type="spellStart"/>
      <w:r>
        <w:t>các</w:t>
      </w:r>
      <w:proofErr w:type="spellEnd"/>
      <w:r>
        <w:t xml:space="preserve"> DN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DN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(VCB, ACB, MBB),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(SSI, HCM) </w:t>
      </w:r>
      <w:proofErr w:type="spellStart"/>
      <w:r>
        <w:t>thép</w:t>
      </w:r>
      <w:proofErr w:type="spellEnd"/>
      <w:r>
        <w:t xml:space="preserve"> (HPG)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(MWG, PNJ),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(DXG, NLG)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(VJC, HVN)</w:t>
      </w:r>
    </w:p>
    <w:bookmarkEnd w:id="0"/>
    <w:p w:rsidR="001F3A5B" w:rsidRDefault="001F3A5B" w:rsidP="00F54153">
      <w:r>
        <w:rPr>
          <w:noProof/>
        </w:rPr>
        <w:lastRenderedPageBreak/>
        <w:drawing>
          <wp:inline distT="0" distB="0" distL="0" distR="0">
            <wp:extent cx="5943600" cy="35039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5B" w:rsidRDefault="001F3A5B" w:rsidP="00F54153">
      <w:r>
        <w:rPr>
          <w:noProof/>
        </w:rPr>
        <w:lastRenderedPageBreak/>
        <w:drawing>
          <wp:inline distT="0" distB="0" distL="0" distR="0" wp14:anchorId="15A9A8FF" wp14:editId="28C4F64F">
            <wp:extent cx="5943600" cy="3580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41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53" w:rsidRDefault="00F54153" w:rsidP="00F54153"/>
    <w:sectPr w:rsidR="00F5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3"/>
    <w:rsid w:val="001F3A5B"/>
    <w:rsid w:val="00C16A46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Hoang. Nguyen Huy</dc:creator>
  <cp:lastModifiedBy>Hoang. Nguyen Huy</cp:lastModifiedBy>
  <cp:revision>2</cp:revision>
  <dcterms:created xsi:type="dcterms:W3CDTF">2018-08-20T08:32:00Z</dcterms:created>
  <dcterms:modified xsi:type="dcterms:W3CDTF">2018-08-20T08:56:00Z</dcterms:modified>
</cp:coreProperties>
</file>